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244972-П/2016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июля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Солодкова Романа Юрьевича на нарушение его конституционных прав частью третьей статьи 72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Р.Ю.Солодкова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закрепляя в статье 22 право каждого на свободу и личную неприкосновенность, устанавливает единые гарантии этого права при заключении под стражу и содержании под стражей и при лишении свободы. Аналогичный подход получил отражение в Уголовном кодексе Российской Федерации, который использует единый временной масштаб при исчислении срока лишения свободы независимо от того, применяется оно в качестве меры пресечения или наказания: время содержания лица под стражей до судебного разбирательства засчитывается в сроки лишения свободы из расчета один день за один день (часть третья статьи 72). При этом федеральный законодатель не проводит (и не обязан проводить) дифференциацию порядка зачета сроков содержания под стражей в зависимости от видов исправительных учреждений, определяемых судом при назначении наказания в виде лишения свободы (Постановление Конституционного Суда Российской Федерации от 27 февраля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Солодкова Романа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