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236876-П/2016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Галстяна Агарона Гарушовича на нарушение его конституционных прав частью второй статьи 68 Уголовного кодекса Российской Федерации и частью первой статьи 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А.Г.Галстяна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Предусмотренные Уголовным кодексом Российской Федерации уголовно-правовые последствия прежней судимости при осуждении виновного лица за совершение нового преступления не выходят за рамки уголовно-правовых средств, которые федеральный законодатель вправе использовать для достижения конституционно оправданных целей дифференциации уголовной ответственности и наказания, усиления его исправительного воздействия на осужденного, предупреждения новых преступлений и тем самым – защиты личности, общества и государства от преступных посягательств (Постановление Конституционного Суда Российской Федерации от 19 марта 2003 года Статья 75 УПК Российской Федерации устанавливает, что доказательства, полученные с нарушением требований этого Кодекса, являются недопустимыми, не имеют юридической силы и не могут быть положены в основу обвинения, а также использоваться для установления любого из обстоятельств, подлежащих доказыванию при производстве по уголовному делу (часть первая), и определяет, какие доказательства относятся к недопустимым (часть вторая). Положения данной статьи служат гарантией принятия законного и обоснованного решения по уголовному делу (определения Конституционного Суда Российской Федерации от 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Галстяна Агарона Гарушовича,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