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308696-П/2017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Авденина Андрея Викторовича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А.В.Авденина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Так, статья 4018 УПК Российской Федерации, являясь частью механизма пересмотра вступивших в законную силу судебных решений по уголовным делам в кассационном порядке, закрепляет, что судьи, указанные в статье 4017 этого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выносят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(при этом кассационные жалоба, представление и копии обжалуемых судебных постановлений остаются в суде кассационной инстанции),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3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Авденина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