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240159-П/2016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Рябинина Дениса Александровича на нарушение его конституционных прав пунктом 3 части 2 статьи 319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Д.А.Рябинина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том числе Кодексом административного судопроизводства Российской Федерации, который устанавливает в оспариваемом заявителем законоположении правила инстанционной подсудности административных дел, рассматриваемых Судебной коллегией по административным делам Верховного Суда Российской Федерации. Таким образом, пункт 3 части 2 статьи 319 Кодекса административного судопроизводства Российской Федерации, как направленный на реализацию положений статьи 47 (часть 1) Конституции Российской Федерации о праве каждого на рассмотрение его дела в том суде и тем судьей, к подсудности которых оно отнесено законом, какой-либо неопределенности не содержит, а потому не может быть признан нарушающим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Рябинина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