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510800-П/2020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Гарина Руслана Александровича на нарушение его конституционных прав пунктом 51 части первой статьи 399 Уголовно-процессуального кодекса Российской Федерации, частью второй статьи 11, пунктом «в» части четвертой статьи 78, статьями 115, 116 и 117 Уголовно- исполнительного кодекса Российской Федерации, а также положением пункта 17 Правил внутреннего распорядка исправительных учреждений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Р.А.Гарина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Р.А.Гарин оспаривает конституционность пункта 51 части первой статьи 399 «Порядок разрешения вопросов, связанных с исполнением приговора» УПК Российской Федерации, части второй статьи 11 «Основные обязанности осужденных», пункта «в» части четвертой статьи 78 «Изменение вида исправительного учреждения», статей 115 «Меры взыскания, применяемые к осужденным к лишению свободы», 116 «Злостное нарушение установленного порядка отбывания наказания осужденными к лишению свободы» и 117 «Порядок применения мер взыскания к осужденным к 2 лишению свободы» УИК Российской Федерации, а также положения пункта 17 Правил внутреннего распорядка исправительных учреждений (утверждены приказом Минюста России от 16 декабря 2016 года № 295). Согласно представленным материалам, постановлением районного суда от 13 декабря 2019 года, оставленным без изменения апелляционным постановлением от 11 августа 2020 года, осужденному к лишению свободы Р.А.Гарину изменен вид исправительного учреждения: он переведен из исправительной колонии строгого режима в тюрьму в связи с тем, что он признан злостным нарушителем установленного порядка отбывания наказания. По мнению заявителя, оспариваемые нормативные положения не соответствуют статьям 15 (часть 4), 18, 21 (часть 1), 26 (часть 2), 49 (части 2 и 3) и 55 (часть 3) Конституции Российской Федерации в той мере, в какой позволяют произвольно считать жаргонными любые слова и выражения, переводить осужденных в тюрьму за их употребление, а также не обязывают суд проводить проверку обстоятельств такого нарушения установленного порядка отбывания наказания.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до истечения шести месяцев со дня вступления в силу Федерального конституционного закона от 9 ноября 2020 года № 5-ФКЗ «О внесении изменений в Федеральный конституционный закон «О 3 Конституционном Суде Российской Федерации», согласно части 4 его статьи 2, под исчерпанием названных средств для целей определения допустимости жалобы понимается подача в соответствии с законодательством о соответствующем виде судопроизводства заявителем или 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Гарина Руслана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