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326740-П/2018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Жуковой Людмилы Михайловны на нарушение ее конституционных прав частью третьей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Л.М.Жуковой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133 УПК Российской Федерации право на возмещение вреда в порядке, установленном главой 18 УПК Российской Федерации, имеет любое лицо, незаконно подвергнутое мерам процессуального принуждения в ходе производства по уголовному делу. Согласно пункту 1 статьи 1070 ГК Российской Федерации вред, причиненный гражданину в результате незаконного применения в качестве меры пресечения заключения под стражу, возмещается за счет казны Российской Федерации в полном объеме независимо от вины должностных лиц органов дознания, предварительного следствия, прокуратуры и суда в порядке, установленном законом. Приведенные нормы не исключают 3 принятие судом решения о возмещении вреда, причиненного гражданину незаконным применением к нему меры пресечения в виде заключения под стражу, в том числе в случаях, когда органом предварительного расследования или судом не принято решение о полной реабилитации подозреваемого или обвиняемого (определения Конституционного Суда Российской Федерации от 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Жуковой Людмилы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