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475099-П/2020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Гаврилова Александра Николаевича на нарушение его конституционных прав частью первой статьи 1, пунктом 1 части второй статьи 40110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А.Н.Гаврилов, которому постановлением судьи кассационного суда общей юрисдикции от 25 февраля 2020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об оспаривании вынесенного в порядке статьи 125 УПК Российской Федерации судебного решения и оставившего его без изменения апелляционного постановления, просит признать противоречащими статьям 21 (часть 1) и 50 (часть 3) Конституции Российской Федерации часть первую статьи 1 «Законы, определяющие порядок уголовного судопроизводства», 2 пункт 1 части второй статьи 40110 «Действия суда кассационной инстанции при поступлении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 того же Кодекса. По утверждению заявителя, данные нормы нарушают его права, поскольку позволяют при осуществлении уголовного судопроизводства, в том числе в суде кассационной инстанции, не принимать во внимание конкретные правовые позиции Конституционного Суда Российской Федерации, а также не предусматривают возможность отмены в кассационном порядке судебных решений в случае выявления обстоятельств, указанных в части первой и пункте 1 части первой2 статьи 237 УПК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Гаврилова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