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Анищенко Игоря Александровича на нарушение его конституционных прав частями второй и третьей статьи 17, частью первой статьи 195 и частью первой статьи 201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И.А.Анищенко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И.А.Анищенко утверждает, что части вторая и третья статьи 17 «Совокупность преступлений», часть первая статьи 195 «Неправомерные действия при банкротстве» и часть первая статьи 201 «Злоупотребление полномочиями» УК Российской Федерации не соответствуют статьям 15 (части 1 и 2), 19 (часть 1), 50 (часть 1) и 55 (часть 2) Конституции Российской Федерации, поскольку позволяют – по смыслу, придаваемому им правоприменительной практикой, и вопреки соотношению указанных норм Особенной части уголовного закона как специальной и 2 общей – квалифицировать одно и то же преступное событие (неправомерное отчуждение имущества организации во владение другим лицам) по нескольким статьям данного Кодекса (статьи 195 и 201), а также повторно осуждать и наказывать за одно и то же преступление. Как указывает заявитель, он являлся обвиняемым в совершении преступлений, предусмотренных частью первой статьи 195 и частью первой статьи 201 УК Российской Федерации; по данному уголовному делу неоднократно отменялись апелляционным судом решения суда первой инстанции. К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Анищенко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