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241558-П/2016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Андрея Игоревича на нарушение его конституционных прав частью третьей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А.И.Соколова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А.И.Соколовым материалы, не находит оснований для принятия его жалобы к рассмотрению. Как неоднократно отмечал Конституционный Суд Российской Федерации, право принимать необходимые кадровые решения в целях осуществления эффективной экономической деятельности и рационального управления имуществом принадлежит работодателю, который обязан при этом обеспечить закрепленные трудовым законодательством гарантии трудовых прав работников, в частности, связанные с проведением мероприятий по изменению структуры, штатного расписания, численного состава работников организации (Постановление от 24 января 2002 года № 3- П; определения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Андрея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