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295660-П/2017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Оленёва Артема Александровича на нарушение его конституционных прав положениями пункта 11.4 Правил дорожного движения Российской Федерации и приложения 2 к Правилам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А.А.Оленёва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 и Правилами дорожного движения Российской Федерации. 3 Оспариваемое заявителем приложение 2 к Правилам дорожного движения Российской Федерации «Дорожная разметка и ее характеристики» в той части, в которой дано определение горизонтальной разметки 1.1 и установлен запрет на ее пересечение, направлено на реализацию требований правовой определенности и обеспечивает безопасность дорожного движения, а потому не может рассматриваться как нарушающее конституционные права граждан. Что же касается оспариваемого заявителем положения пункта 11.4 Правил дорожного движения Российской Федерации, то его применение судом в деле заявителя, вопреки требованиям статей 96 и 97 Федерального конституционного закона «О Конституционном Суде Российской Федерации», не подтверждается. Иные же требования заявителя, указанные в его жалобе, не относятся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Оленёва Артема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