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258474-П/2016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Кутявина Арсения Валентиновича на нарушение его конституционных прав частью 2 статьи 12.37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А.В.Кутявина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признав не противоречащим Конституции Российской Федерации введение института обязательного страхования риска гражданской ответственности владельцев транспортных средств, исходил из того, что введение такого института направлено на повышение уровня защиты права потерпевших (лиц, жизни, здоровью или имуществу которых может быть причинен вред в результате эксплуатации транспортного средства иными лицами) на возмещение вреда (Постановление от 31 мая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Кутявина Арсения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