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300363-П/2017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Пономарева Константина Анатольевича на нарушение его конституционных прав частями 1 и 2 статьи 22 и частями 3 и 4 статьи 24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К.А.Пономарева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Конституцией Российской Федерации каждому гарантируется судебная защита его прав и свобод (статья 46, часть 1); никто не может быть лишен права на рассмотрение его дела в том суде и тем судьей, к подсудности которых оно отнесено законом (статья 47, часть 1). В силу требований Конституции Российской Федерации, в том числе вытекающих из названных положений, подсудность дел определяется законом, в котором должны быть закреплены критерии, в нормативной форме предопределяющие, в каком суде подлежит рассмотрению то или иное дело, что позволило бы суду, сторонам и другим участникам процесса избежать неопределенности в этом вопросе. Оспариваемые части 1 и 2 статьи 22 Кодекса административного судопроизводства Российской Федерации о подаче административного 3 искового заявления по месту жительства, месту нахождения административного ответчика, устанавливающие общее правило определения подсудности административных дел судам общей юрисдикции, как и оспариваемые части 3 и 4 статьи 24 Кодекса административного судопроизводства Российской Федерации, допускающие обусловленное особыми обстоятельствами конкретного дела исключение из установленного положениями его статьи 22 общего правила в виде предоставления административному истцу возможности выбора, в какой суд ему надлежит обратиться, конкретизируют статью 47 (часть 1) Конституции Российской Федерации, не допускают произвольного толкования, а потому не могут рассматриваться как нарушающие конституционные права заявителя, перечисленные в жалобе. Установление же фактических обстоятельств дела, в том числе разрешение вопроса о том, какому суду подсудно конкретное дело заявителя с участием налоговых органов Смоленской области и города Москвы, равно как и выбор норм, подлежащих применению,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Пономарева Константина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