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265336-П/2017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Писарчука Константина Дмитриевича на нарушение его конституционных прав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К.Д.Писарчука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Ныробской постоянной сессии Чердынского районного суда Пермской области от 2 июля 2004 года оставлено без удовлетворения ходатайство гражданина К.Д.Писарчука о приведении в соответствие с действующим уголовным законом вынесенных в его отношении в 2002 и 2003 годах приговоров, согласно которым он был признан виновным в совершении двух преступлений небольшой тяжести. В 2016 году заявитель обратился в Верховный Суд Российской Федерации с кассационной жалобой на указанное судебное решение, однако 2 постановлением судьи Верховного Суда Российской Федерации от 5 октября 2016 года, с которым согласился заместитель Председателя этого суда (письмо от 30 ноября 2016 года), в ее передаче для рассмотрения в судебном заседании суда кассационной инстанции отказано ввиду отсутствия оснований для отмены или изменения оспариваемого постановления, поскольку назначенное по приговорам окончательное наказание отбыто в 2006 году.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40115 УПК Российской Федерации устанавливает,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 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 Данное законоположение какой-либо неопределенности не содержит (определения Конституционного Суда Российской Федерации от 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Писарчука Константина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