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Федерации, а также статьями 128, 198, 199 и 316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суда, с которым согласились суды апелляционной и кассационной инстанций, гражданину Э.А.Гусейнову отказано в удовлетворении ходатайства об изменении ранее избранной ему меры пресечения. Полагая определение суда первой инстанции неправосудным, Э.А.Гусейнов оспорил действия судей, связанные с разрешением в отношении него вопроса о мере пресечения, в порядке административного судопроизводства, однако решением судьи районного суда ему отказано в принятии административного искового заявления. Судом апелляционной 2 инстанции данное решение оставлено без изменения, а частная жалоба заявителя – без удовлетворения. В этой связи Э.А.Гусейнов утверждает, что статьи 256 «Порядок вынесения определения, постановления», 38913 «Порядок рассмотрения уголовного дела судом апелляционной инстанции», 38915 «Основания отмены или изменения судебного решения в апелляционном порядке», 38920 «Решения, принимаемые судом апелляционной инстанции», 38928 «Апелляционные приговор, определение и постановление», 4018 «Рассмотрение кассационных жалобы, представления» и 40110 «Постановление судьи об отказе в передаче кассационных жалобы, представления для рассмотрения в судебном заседании суда кассационной инстанции» УПК Российской Федерации, а также статьи 128 «Отказ в принятии административного искового заявления», 198 «Порядок вынесения определения суда», 199 «Содержание определения суда» и 316 «Полномочия суда апелляционной инстанции при рассмотрении частной жалобы, представления прокурора» КАС Российской Федерации не соответствуют статьям 2, 4 (часть 2), 6 (часть 2), 15 (часть 1), 17–19, 21, 22, 23 (часть 1), 45, 46, 47 (часть 1), 49, 50 (часть 2), 52, 54, 55, 118 (части 1 и 2) и 126 Конституции Российской Федерации, поскольку не обеспечивают защиту прав подсудимого, не позволяя признавать незаконными действия судей судов общей юрисдикции, совершенные ими в процессе рассмотрения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