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295983-П/2017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Козлова Сергея Геннадьевича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С.Г.Козлова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Федеральному конституционному закону от 31 декабря 1996 года № 1-ФКЗ «О судебной системе Российской Федерации»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и арбитражных заседателей (часть 1 статьи 1). Данной норме корреспондируют и положения Уголовно-процессуального кодекса Российской Федерации, закрепляющие полномочия суда (статья 29) и правила определения состава судов первой, апелляционной и кассационной инстанций, рассматривающих конкретные уголовные дела в коллегиальном составе или судьей единолично (часть первая статьи 30), что не противоречит конституционным требованиям об осуществлении правосудия только судом посредством конституционного, гражданского, административного и уголовного судопроизводства, притом что разрешение уголовных дел отнесено к ведению судов общей юрисдикции (пункт 2 части 2 статьи 4 Федерального конституционного закона от 7 февраля 2011 года № 1-ФКЗ «О судах общей юрисдикции в Российской Федерации»). Что же касается статей 4017 и 4018 УПК Российской Федерации, устанавливающих предварительный единоличный порядок изучения судьей суда кассационной инстанции поступивших жалобы, представления, то они, 3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Козлова Сергея Геннадьевича,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