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413300-П/2019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Сергея Викторовича на нарушение его конституционных прав пунктом 2 статьи 15, статьями 16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С.В.Комаров, которому судебным постановлением отказано во взыскании с публично-правового образования суммы, которую заявитель обязан выплатить по мировому соглашению, заключенному с гражданином Е., предъявившим иск об истребовании из чужого незаконного владения земельного участка, оказавшегося во владении заявителя вследствие наложения границ истребуемого из чужого незаконного владения земельного участка и земельного участка заявителя, приобретенного, в частности, у гражданки К., которой данный земельный участок был передан 2 в собственность указанным публично-правовым образованием, оспаривает конституционность следующих положений Гражданского кодекса Российской Федерации: пункта 2 статьи 15, согласно которому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выгода);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доходы; статьи 16, предусматривающей, что 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образованием; статьи 1069, в соответствии с которой вред, 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 самоуправления, подлежит возмещению; вред возмещается за счет соответственно казны Российской Федерации, казны субъекта Российской Федерации или казны муниципального образования. По мнению заявителя, оспариваемые положения противоречат статьям 18 и 53 Конституции Российской Федерации, поскольку по смыслу, 3 придаваемому им правоприменительной практикой, они ограничивают право на возмещение реального ущерба.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15, статьи 16 и 1069 ГК Российской Федерации направлены на обеспечение полного возмещения убытков по требованию лица, право которого нарушено, в частности в результате незаконных действий (бездействия) государственных органов, органов местного самоуправления либо должностных лиц этих органов, и тем самым на реализацию положений Конституции Российской Федерации, в том числе ее статей 35 и 53, а потому сами по себе не могут расцениваться как нарушающие перечисленные в жалобе конституционные права заявителя в деле, в котором суды указали, что на момент передачи гражданке К. публично-правовым образованием земельного участка основания для отказа в утверждении схемы испрашиваемого земельного участка отсутствовали, сведений о наличии прав третьих лиц на земельный участок не имелось, а причинно-следственная связь между действиями публично-правового образования и суммой, которую заявитель обязан выплатить по мировому соглашению, отсутствует. Установление же и исследование фактических обстоятельств, имеющих значение для разрешения судом конкретного дела, включая наличие вины публично-правового образования и указанной причинно- следственной связи, не относятся к компетенции Конституционного Суда Российской Федерации, как она определена статьями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