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489403-П/2020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положениями статей 30.14 и 30.15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пункта 1 части 3 статьи 30.14 «Подача жалобы, принесение протеста на вступившие в законную силу постановление по делу об административном правонарушении, решения по результатам рассмотрения жалоб, протестов» и части 3 статьи 30.15 «Принятие к рассмотрению жалобы, протеста на вступившие в законную силу постановление по делу об административном правонарушении, решения по результатам рассмотрения жалоб, протестов» КоАП Российской Федерации. 2 По мнению Э.А.Гусейнова, оспариваемые законоположения необоснованно ограничивают его права, поскольку позволяют судам возвращать жалобу на вступившие в законную силу акты по делу об административном правонарушении в случае, если к ней не приложена копия определения об отказе в возбуждении дела об административном правонарушении, а потому не соответствуют статьям 18, 46 (части 1 и 2), 52, 55 (часть 3) и 56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