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259092-П/2016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Крутовой Ларисы Александровны на нарушение ее конституционных прав частью первой статьи 4012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Л.А.Крутовой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Л.А.Крутова, являющаяся матерью лица, осужденного за совершение преступления к наказанию в виде лишения свободы, обратилась в адрес президиума областного суда с кассационной жалобой в защиту интересов своего сына об оспаривании вынесенного в его отношении приговора, в которой указывала на наличие допущенных, по ее утверждению, существенных нарушений норм уголовно-процессуального закона. При этом заявительница обосновывала свое право на подачу подобного обращения тем, что незаконное осуждение сына нарушает и ее 2 права, в частности право на получение с его стороны попечения в старости, гарантированное статьей 38 (часть 3) Конституции Российской Федерации и пунктом 1 статьи 87 Семейного кодекса Российской Федерации. Постановлением судьи областного суда от 1 апреля 2016 года обращение заявительницы возвращено без рассмотрения, как поданное лицом, не наделенным правом обжалования вынесенных в отношении осужденного судебных решений, а также с разъяснением, что правосудность этих решений подтверждена в результате рассмотрения жалоб стороны защиты в областном суде и в Верховном Суде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Крутовой Ларисы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