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360065-П/2018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Акрамова Саттора Абдусаломовича на нарушение его конституционных прав частью первой статьи 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С.А.Акрамова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в статье 54 (часть 2) – в качестве гарантии защиты достоинства личности и ее прав в сфере уголовно-правовых и уголовно- процессуальных отношений – правило, в силу которого никто не может нести ответственность за деяние, не признававшееся правонарушением в момент его совершения, и исключая тем самым возможность возложения на граждан ответственности за деяния, общественная опасность которых в момент совершения ими не осознавалась и не могла осознаваться ввиду отсутствия в законе соответствующего правового запрета, Конституция Российской Федерации создает необходимые предпосылки определенности их правового положения (Постановление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Акрамова Саттора Абдусаломовича,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