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296483-П/2017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статьями 75, 92, 108 и 260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110 УПК Российской Федерации устанавливает, что мера пресечения, в том числе и заключение под стражу, отменяется, когда в ней отпадает необходимость, или изменяется на более строгую или более мягкую, когда изменяются основания для ее избрания, предусмотренные статьями 97 и 99 данного Кодекса. Из этого следует, что изменение меры пресечения зависит не от соблюдения сроков предъявления обвинения, а от наличия, отсутствия или изменения оснований к ее избранию, к числу которых относится наличие достаточных причин полагать, 3 что обвиняемый, подозреваемый скроется от дознания, предварительного следствия или суда, может продолжать заниматься преступной деятельностью,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(часть первая статьи 97 данного Кодекса). Кроме того, из приложенных к жалобе Э.А.Гусейнова материалов не усматривается, что какими-либо судами решались вопросы о недопустимости собранных по его делу доказательств, о законности его задержания и правильности составления при этом соответствующего протокола и что он обжаловал постановления судей, вынесенные по итогам рассмотрения его замечаний на протоколы судебных заседаний. Следовательно, не подтверждается применение оспариваемых заявителем законоположений судом в указанных им аспектах. Таким образом, жалоба Э.А.Гусейнова,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