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271522-П/2017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Косарева Владимира Анатольевича на нарушение его конституционных прав статьей 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В.А.Косарева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сентября 2011 года, с которым согласился заместитель Председателя этого Суда (решение от 15 августа 2016 года), отказано в передаче для рассмотрения в судебном заседании суда надзорной инстанции жалобы гражданина В.А.Косарева о пересмотре определения суда кассационной (второй) инстанции от 3 июня 1999 года. При этом применительно к доводу В.А.Косарева о нарушении его права на получение квалифицированной юридической помощи в суде кассационной инстанции разъяснено, что 2 кассационное рассмотрение его дела состоялось в период действия Уголовно-процессуального кодекса РСФСР, который не предусматривал обязательного участия защитника осужденного при рассмотрении дела в этом суде, а положения Уголовно-процессуального кодекса Российской Федерации в соответствии с его статьей 4 обратной силы не имеют.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При этом статья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Косарева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