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239481-П/2016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Чикатуева Расула Абдул-Керимовича на нарушение его конституционных прав пунктом 7 статьи 3, частями 4 и 7 статьи 38 Федерального закона «О рекламе»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Р.А.- К.Чикатуева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7 статьи 3 Федерального закона «О рекламе» определяет значение понятия «рекламораспространитель» и не может расцениваться как 3 порождающий правовую неопределенность и нарушающий права заявителя в указанном в жалобе аспекте. Оспариваемая часть 4 статьи 38 данного Федерального закона устанавливает общее правило о наличии административной ответственности за нарушение указанного Федерального закона, часть 7 той же статьи конкретизирует нормы Федерального закона «О рекламе», за нарушение которых несет ответственность рекламораспространитель. Подобное регулирование имеет целью в том числе развитие рынков товаров, работ и услуг на основе соблюдения принципов добросовестной конкуренции, реализацию прав потребителей на получение добросовестной и достоверной рекламы, предупреждение нарушения законодательства Российской Федерации о рекламе, а также пресечение фактов ненадлежащей рекламы (статья 1 названного Федерального закона). При этом рекламораспространитель имеет возможность определить соответствие рекламы установленным законодательным требованиям и не допустить нарушение законодательства Российской Федерации о рекламе. Таким образом, оспариваемые нормы данного Федерального закона во взаимосвязи с иными его положениями не содержат неопределенности, позволяющей судам и иным правоприменителям осуществлять их произвольное применение. Следовательно, сами по себе они также не могут расцениваться как нарушающие конституционные права заявителя, тем более что не лишают его возможности защищать права с помощью установленных законом правовых средств.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Чикатуева Расула Абдул-Керимовича,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