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235807-П/2016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Маценовой Евы Борисовны на нарушение ее конституционных прав частью первой статьи 303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Е.Б.Маценовой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19 декабря 2014 года было возбуждено уголовное дело по факту фальсификации доказательств по гражданскому делу, в котором гражданка Е.Б.Маценова была истцом и в пользу которой состоялось решение по данному делу. Постановлением судьи от 3 сентября 2015 года оставлена без удовлетворения жалоба Е.Б.Маценовой на указанное постановление следователя, с чем 2 согласились суды вышестоящих инстанций (апелляционное постановление городского суда от 8 октября 2015 года, постановление судьи Верховного Суда Российской Федерации от 2 декабря 2015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первой статьи 303 УК Российской Федерации устанавливают уголовную ответственность за фальсификацию доказательств по гражданскому делу лицом, участвующим в деле, или его представителем и не регламентируют порядок возбуждения уголовного дела о данном преступлении. При этом,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Маценовой Евы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