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501722-П/2020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публичного акционерного общества «ОДК – Уфимское моторостроительное производственное объединение» на нарушение конституционных прав и свобод абзацем двадцатым пункта 97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ПАО «ОДК – Уфимское моторостроительное производственное объединение»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ПАО «ОДК – Уфимское моторостроительное производственное объединение» оспаривает конституционность абзаца двадцатого пункта 97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 согласно которому 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2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 Как следует из представленных материалов, ПАО «ОДК – Уфимское моторостроительное производственное объединение» является потребителем, энергопринимающие устройства которого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Решением арбитражного суда, оставленным без изменений вышестоящими судами, заявителю отказано в удовлетворении исковых требований о взыскании неосновательного обогащения, образовавшегося, по мнению заявителя, у гарантирующего поставщика в связи с определением стоимости поставляемой электрической энергии исходя из четвертой ценовой категории 3 вместо согласованной в договорах энергоснабжения третьей ценовой категории. Суды указали, что абзац двадцатый пункта 97 Основных положений функционирования розничных рынков электрической энергии не предоставляет потребителям возможности выбрать ценовую категорию, отличную от четвертой или шестой. Заявитель считает оспариваемое положение не соответствующим Конституции Российской Федерации, ее преамбуле, статьям 8 (часть 1), 34 (часть 1), 35 (часть 2) и 55 (часть 3), поскольку оно создает препятствие свободе экономической деятельности в сфере электроэнергетики, ограничивает права поставщика и потребителя электрической энергии на выбор ценовой категории в договоре электроснабжения, вытекающие из конституционно-правового принципа свободы договора.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двадцатый пункта 97 Основных положений функционирования розничных рынков электрической энергии, закрепляющий, в частности, право потребителей,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выбора между четвертой и шестой ценовыми категориями, направлен на учет используемого потребителем способа присоединения его энергопринимающих устройств к электрическим сетям территориальной сетевой организации и зависящих от этого особенностей определения платы за поставленную электрическую энергию, обеспечение баланса прав и законных интересов участников отношений энергоснабжения и сам по себе не может расцениваться как нарушающий указанные в жалобе конституционные права заявителя. Проверка же правильности применения оспариваемой нормы с учетом фактических обстоятельств конкретного дела, равно как и оценка того, является ли она диспозитивной или императивной, исходя в том числе из 4 существа данной нормы и целей законодательного регулирования,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публичного акционерного общества «ОДК – Уфимское моторостроительное производственное объединение»,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