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456404-П/2020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Черткова Леонида Юрьевича на нарушение его конституционных прав частью 1 статьи 1901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Л.Ю.Черткова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Л.Ю.Чертков, которому судебным постановлением отказано в удовлетворении исковых требований к администрации муниципального образования об обязании провести капитальный ремонт многоквартирного дома, оспаривает конституционность части 1 статьи 1901 Жилищного кодекса Российской Федерации, согласно которой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 первого 2 жилого помещения проведен не был, и при условии,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бюджета, средств бюджета субъекта Российской Федерации, местного бюджета, капитальный ремонт общего имущества в многоквартирном доме в соответствии с требованиями данной статьи проводит орган государственной власти или орган местного самоуправления, уполномоченные на дату приватизации первого жилого помещения в многоквартирном доме выступать соответственно от имени Российской Федерации, субъекта Российской Федерации, муниципального образования в качестве собственника жилого помещения государственного или муниципального жилищного фонда, являвшиеся наймодателем; в случае, если за счет средств соответствующих бюджетов проведен капитальный ремонт только отдельных элементов общего имущества в многоквартирном доме, обязанность бывшего наймодателя по проведению капитального ремонта распространяется на те элементы общего имущества в многоквартирном доме, капитальный ремонт которых не был проведен. По мнению заявителя, оспариваемая норма противоречит статьям 2, 7 (части 1 и 2), 8 (часть 2), 15 (части 1 и 2), 19 (части 1 и 2), 35 (части 1 и 2), 40 (части 1 и 2), 45, 46 (части 1 и 2) и 55 (части 2 и 3) Конституции Российской Федерации, поскольку по смыслу, придаваемому ей правоприменительной практикой, она лишает граждан, не способных по не зависящим от них обстоятельствам представить бывшему наймодателю или в суд документы, подтверждающие, что до даты приватизации в многоквартирном доме первого жилого помещения он был включен в перспективный и (или) годовой план капитального ремонта жилищного фонда, возможности доказать иными способами факт того, что многоквартирный дом на момент приватизации первого жилого помещения в нем нуждался в проведении капитального ремонта, и тем самым реализовать свое право на проведение капитального ремонта бывшим наймодателем. 3 Кроме того, заявитель просит отменить принятые по делу с его участием судебные постановления.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Черткова Леонида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