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Лажанева Владимира Андреевича на нарушение его конституционных прав статьями 69 и 111 Уголовного кодекса Российской Федерации, а также статьями 171, 172 и 414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В.А.Лажанева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материалов жалобы В.А.Лажанева следует, что по его делу приговор постановлен 15 января 2015 года и вступил в законную силу 10 марта 2015 года, а последний судебный акт – решение заместителя Председателя Верховного Суда Российской Федерации – вынесен 25 января 2016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Лажанева Владимира Андреевича,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