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Кондратова Сергея Александровича на нарушение его конституционных прав Законом города Москвы «О налоге на имущество организаций»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С.А.Кондратова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402 Налогового кодекса Российской Федерации, регулирующей вопросы уплаты налога на имущество физических лиц, налоговая база в отношении объектов налогообложения, включенных в перечень, установленный уполномоченным органом исполнительной власти субъекта Российской Федерации, определяется исходя из их кадастровой стоимости. Данное законоположение содержит отсылку к положениям главы 30 «Налог на имущество организаций» названного Кодекса и применяется во взаимосвязи с его статьей 3782, которая предусматривает, что в перечень указанных объектов недвижимого имущества включаются в том числе административно-деловые и торговые центры. В качестве необходимых критериев, позволяющих отнести то или иное отдельно стоящее нежилое здание к административно-деловому или торговому центру для целей уплаты налога на имущество, федеральный законодатель установил наличие 3 соответствующего вида разрешенного использования объекта недвижимого имущества либо его фактическое использование в целях делового, административного или коммерческого назначения. Такое регулирование является нормативной основой как для исполнения субъектами Российской Федерации полномочия по формированию указанного перечня объектов недвижимого имущества, так и для надлежащего исполнения налогоплательщиками конституционной обязанности по уплате налога. С учетом этого положениями Закона города Москвы «О налоге на имущество организаций» предусмотрены особенности определения налоговой базы в отношении отдельных объектов недвижимого имущества. В частности, ими определено, что в отношении отдельно стоящих нежилых зданий общей площадью свыше 2 000 квадратных метров, фактически используемых в целях делового, административного или коммерческого назначения, налоговая база определяется как их кадастровая стоимость (пункт 2 статьи 11). Данные законоположения приняты законодателем субъекта Российской Федерации в рамках предоставленной ему дискреции в налоговой сфере, они не носят произвольный характер, а следовательно, не могут расцениваться как нарушающие конституционные права заявителя в указанном им аспекте. Кроме того, из представленных заявителем материалов не следует, что оспариваемый им Закон города Москвы «О налоге на имущество организаций» был применен судом в его конкретном деле в полном объеме.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Кондратова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