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267474-П/2017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Зубкова Владимира Владимировича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В.В.Зубкова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125 УПК Российской Федерации устанавливает, что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 Данная норма направлена на реализацию правовой позиции Конституционного Суда Российской Федерации, согласно которой заинтересованным лицам необходимо обеспечивать еще в ходе предварительного расследования по уголовному делу возможность незамедлительно обратиться в суд с жалобой на действия и решения дознавателя, следователя или прокурора, если они не только затрагивают собственно уголовно-процессуальные отношения, но и порождают последствия, выходящие за их рамки, существенно ограничивая при этом конституционные права и свободы личности (Постановление 3 Конституционного Суда Российской Федерации от 23 марта 1999 года № 5- П). Доводы, приведенные заявителем в обоснование своей позиции, свидетельствуют о том, что нарушение своих прав он связывает с предполагаемой невозможностью реализовать право на судебную защиту в гражданском судопроизводстве. Между тем статья 125 УПК Российской Федерации порядок гражданского судопроизводства не регламентирует.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Зубкова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