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326949-П/2018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Лауры Елены Владимировны на нарушение ее конституционных прав статьей 304 Гражданского кодекса Российской Федерации, статьями 198, 329 и 383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Е.В.Лауры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гражданке Е.В.Лауре (собственнику жилого помещения в многоквартирном доме) было отказано в удовлетворении требования к собственникам расположенных на первом этаже дома нежилых помещений об обеспечении доступа к общедомовому имуществу – инженерным сетям отопления, канализации и водоснабжения в объеме, необходимом для проведения капитального ремонта.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304 ГК Российской Федерации имеет целью устранение нарушений прав собственника или иного владельца, не связанных с лишением владения, служит защите прав и законных интересов граждан (объединений граждан) и реализации предписаний статей 17 (часть 3), 35, 46 и 55 (часть 3) Конституции Российской Федерации (определения Конституционного Суда Российской Федерации от 7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Лауры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