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370208-П/2018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1 статьи 2.1 Кодекса Российской Федерации об административных правонарушениях, статьей 14 Уголовного кодекса Российской Федерации, статьями 133 и 396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3 которого завершено в суде, при этом жалоба должна быть подана в срок не позднее одного года после рассмотрения дела в суде. Между тем представленные Э.А.Гусейновым судебные решения, подтверждающие применение части 1 статьи 2.1 КоАП Российской Федерации и статьи 14 УК Российской Федерации в его деле, были вынесены более года назад, т.е. по истечении срока, который является достаточным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