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363683-П/2018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«Северлес» на нарушение конституционных прав и свобод статьей 8.28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ООО «Северлес»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Кодексом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правонарушения, в отношении которых установлена его вина;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данным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 (часть 1 статьи 1.5 и часть 2 статьи 2.1). Статья 8.28 названного Кодекса обеспечивает охрану окружающей среды и надлежащее природопользование, в частности защищает лесные 3 насаждения от их незаконной рубки и повреждения. Юридические лица являются одними из участников отношений в области использования, охраны, защиты и воспроизводства лесов (часть 1 статьи 3 и часть 1 статьи 4 Лесного кодекса Российской Федерации). Оспариваемая же статья, действующая во взаимосвязи с иными нормами законодательства об административных правонарушениях, во всяком случае не предполагает возможность произвольного привлечения к административной ответственности лица без установления его вины в совершении предусмотренного этой статьей административного правонарушения. Поэтому данное законоположение не может рассматриваться как нарушающее конституционные права и свободы заявителя в указанном им аспекте. Проверка же законности и обоснованности правоприменительных актов по делу об административном правонарушении, в том числе в части установления вины лица, привлеченного к административной ответственности, к компетенции Конституционного Суда Российской Федерации не относится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«Северлес»,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