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431916-П/2019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40, пунктом 2 статьи 43, частью первой статьи 79, статьями 96 и 97 Федерального конституционного закона «О Конституционном Суде Российской Федерации», статьями 73 и 2641 Уголовного кодекса Российской Федерации, пунктом 1 части первой статьи 134 Гражданского процессуального кодекса Российской Федерации, а также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статьи 40 «Рассмотрение обращений Секретариатом Конституционного Суда Российской Федерации», пункта 2 статьи 43 «Отказ в принятии обращения к рассмотрению», части первой статьи 79 «Юридическая сила решения», статей 96 «Право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Федерального конституционного закона «О Конституционном Суде Российской Федерации», Уголовно- 3 процессуального кодекса Российской Федерации и Гражданского процессуального кодекса Российской Федерации направлены на реализацию права граждан на судебную защиту в рамках конституционного, уголовного и гражданского судопроизводства и сами по себе не могут рассматриваться как нарушающие конституционные права заявителя, указанные в жалобе. Кроме того, определениями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