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322182-П/2018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М. на нарушение его конституционных прав пунктом 94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 материалы, не находит оснований для принятия его жалобы к рассмотрению. Положение о военно-врачебной экспертизе утверждено постановлением Правительства Российской Федерации от 4 июля 2013 года № 565 «Об утверждении Положения о военно-врачебной экспертизе», которое принято в соответствии со статьей 61 Федерального закона от 21 ноября 2011 года «Об основах охраны здоровья граждан в Российской Федерации». 3 Пункт 94 названного Положения, определяя круг оснований, обусловливающих вынесение военно-врачебной комиссией заключения о причинной связи увечий (ранений, травм, контузий) и заболеваний с прохождением службы в органах, указанных в пункте 1 данного Положения, в том числе в органах внутренних дел Российской Федерации, в системе действующего правового регулирования направлен на обеспечение социальной защиты сотрудников органов внутренних дел, в равной мере распространяется на всех сотрудников и не может рассматриваться как нарушающий конституционные права заявителя. Разрешение же вопроса о возможности признания имеющегося у заявителя заболевания военной травмой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Федерации», как не относится к его полномочиям и проверка соответствия оспариваемой нормы статье 21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М.,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