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305199-П/2017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Макарова Сергея Сергеевича на нарушение его конституционных прав постановлением Совнаркома СССР и ЦК ВКП (б) «О неотложных мерах по восстановлению хозяйства в районах, освобожденных от немецкой оккупации», а также директивой Генерального штаба Вооруженных Сил СССР и приказом Министра обороны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С.С.Макарова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125 (часть 4) Конституции Российской Федерации и конкретизирующим ее положениям пункта 3 части первой статьи 3, части первой статьи 96 и статьи 97 Федерального конституционного закона «О Конституционном Суде Российской Федерации» граждане обладают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Макарова Сергея Сергеевича, поскольку разрешение поставленных в ней вопросов Конституционному Суду Российской Федерации не подведомственно и поскольку акт, конституционность которого оспаривается, утратил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