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306652-П/2017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Хохлова Кирилла Александровича на нарушение его конституционных прав абзацем первым пункта 2 и пунктом 3 статьи 71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К.А.Хохлова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гражданина В., была удовлетворена апелляционная жалоба ООО «Химпромсервис» и отменено определение арбитражного суда первой инстанции, которым требование гражданина К.А.Хохлова к должнику признано обоснованным и включено в реестр требований кредиторов с отнесением в третью очередь удовлетворения; в удовлетворении заявленных требований К.А.Хохлова отказано. При этом арбитражный суд апелляционной инстанции исходил, в частности, из того, что К.А.Хохловым не представлены доказательства, 2 подтверждающие финансовую возможность предоставления денежных средств должнику, доказательства получения должником денежных средств и пр.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71 Федерального закона «О несостоятельности (банкротстве)» возражения относительно требований кредиторов могут быть предъявлены в арбитражный суд в течение пятнадцати календарных дней со дня истечения срока для предъявления требований кредиторов должником, временным управляющим, кредиторами, предъявившими требования к должнику, представителем учредителей (участников) должника или представителем собственника имущества должника – унитарного предприятия (абзац первый пункта 2); при наличии возражений относительно требований кредиторов арбитражный суд проверяет обоснованность требований и наличие оснований для включения указанных требований в реестр требований кредиторов (пункт 3). 3 Данные законоположения, рассматриваемые в том числе с учетом разъяснений, содержащихся в пункте 30 постановления Пленума Высшего Арбитражного Суда Российской Федерации от 23 июля 2009 года № 60 «О некоторых вопросах, связанных с принятием Федерального закона от 30 декабря 2008 года № 296-ФЗ «О внесении изменений в Федеральный закон «О несостоятельности (банкротстве)», и направленные на реализацию принципа состязательности при установлении требований кредиторов и защиту их имущественных интересов, с тем чтобы не допустить включение необоснованных требований в реестр требований кредиторов, не могут рассматриваться как нарушающие конституционные права заявителя, перечисленные в жалобе. Установление же и оценка фактических обстоятельств, имеющих значение для разрешения конкретного дела, а также проверка правильности применения оспариваемых норм с учетом данных обстоятельств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Хохлова Кирилла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