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289399-П/2017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Ардашевой Анны Валерьевны на нарушение ее конституционных прав статьей 73, пунктом 1 статьи 307, частью первой статьи 38917, пунктом 7 части третьей статьи 38928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А.В.Ардашевой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в жалобе заявительницы положения статьи 73, пункта 1 статьи 307, части первой статьи 38917, пункта 7 части третьей статьи 38928 и части первой статьи 40115 УПК Российской Федерации прямо устанавливают, что виновность лица в совершении преступления, форма вины, его мотивы и цели относятся к числу обстоятельств, подлежащих доказыванию по уголовному делу, которые должны быть отражены в описательно-мотивировочной части приговора; при этом существенные нарушения уголовно-процессуального закона являются основаниями отмены или изменения судебного решения судами апелляционной и кассационной инстанций. Данные нормы не только не нарушают права и законные интересы лица, осуждаемого за совершение преступления, в указанном заявительницей аспекте, но и, напротив, 3 являются гарантией возложения уголовной ответственности лишь при наличии всех признаков состава преступления, предусмотренного уголовным законом (статья 8 УК Российской Федерации). Доводы, приведенные в жалобе А.В.Ардашевой, а также заявленные в ней требования свидетельствуют о том, что, формально оспаривая конституционность норм Уголовно-процессуального кодекса Российской Федерации, она фактически предлагает Конституционному Суду Российской Федерации оценить обоснованность и правильность вынесенных по ее делу правоприменительных решений, которыми, по ее мнению, были нарушены требования закона об обстоятельствах, подлежащих доказыванию по уголовному делу, включая мотивы и цели.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Ардашевой Анны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