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Белькова Дмитрия Вячеславовича на нарушение его конституционных прав статьями 387 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Д.В.Белькова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Д.В.Бельков оспаривает конституционность статей 387 «Основания для отмены или изменения судебных постановлений в кассационном порядке» и 390 «Полномочия суда кассационной инстанции» ГПК Российской Федерации. По мнению заявителя, истолкование в деле с его участием судом кассационной инстанции положений статей 387 и 390 ГПК Российской Федерации позволило ему произвести переоценку представленных в дело доказательств, что расходится с конституционно-правовым смыслом данных норм, выявленным Конституционным Судом Российской Федерации, а 2 потому такое истолкование противоречит Конституции Российской Федерации, в том числе ее статьям 19 (часть 1), 46 (часть 1) и 55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статья 387 ГПК Российской Федерации воспроизводит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Белькова Дмитрия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