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266529-П/2017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Слесаревского Анатолия Сергеевича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А.С.Слесаревского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Данные положения обусловлены закрепленным в статье 54 (часть 2) Конституции Российской Федерации общепризнанным правовым принципом nullum crimen, nulla poena sine lege (нет преступления, нет 3 наказания без указания на то в законе) и действуют во взаимосвязи с направленными на реализацию данного принципа нормами Уголовного кодекса Российской Федерации, устанавливающими, что уголовное законодательство Российской Федерации состоит из данного Кодекса, а новые законы, предусматривающие уголовную ответственность, подлежат включению в данный Кодекс (часть первая статьи 1), преступность деяния, его наказуемость и иные уголовно-правовые последствия определяются только данным Кодексом (часть первая статьи 3), и, соответственно, не могут расцениваться как нарушающие права заявителя в указанном им аспекте. Установление же того, в каком порядке подлежат рассмотрению поставленные в ходатайстве заявителя вопросы – в порядке статьи 10 УК Российской Федерации или в процедуре обжалования приговора, требует изучения фактических обстоятельств его конкретного дела, что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Слесаревского Анатолия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