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359255-П/2018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норм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по требованию гражданина Э.А.Гусейнова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3 Оспариваемые Э.А.Гусейновым нормы, регламентируя порядок осуществления процессуальных действий и механизмы защиты интересов участвующих в производстве по уголовному делу лиц, не содержат положений, допускающих их произвольное применение, и, следовательно, не могут расцениваться как нарушающие конституционные права заявителя. Как следует из жалобы, вопреки требованию пункта 8 части второй статьи 37 Федерального конституционного закона «О Конституционном Суде Российской Федерации» заявитель не приводит правового обоснования неконституционности оспариваемых норм, а аргументирует свою позицию лишь ссылками на обстоятельства производства по его уголовному делу и прямо ставит перед Конституционным Судом Российской Федерации вопросы, разрешение которых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