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438700-П/2019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Согомоняна Баграта Завеновича на нарушение его конституционных прав положениями пунктов 2, 34 и 196 Основных положений функционирования розничных рынков электрической энергии и пунктом 2 приложения № 3 к Основным положениям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Б.З.Согомоняна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Б.З.Согомонян ‒ индивидуальный предприниматель, с которого взыскана сумма неосновательного обогащения, образовавшегося в результате бездоговорного потребления электрической энергии через сети сетевой организации, оспаривает конституционность следующих положений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(далее – Основные положения), примененных в деле с 2 его участием (в редакции, действовавшей до внесения изменений постановлением Правительства Российской Федерации от 24 мая 2017 года № 624, содержание которых в основном воспроизведено в ныне действующей редакции): пункта 2, содержащего понятие бездоговорного потребления электрической энергии; абзацев первого и четвертого пункта 34, закрепляющих требование о предоставлении наряду с заявлением о заключении соответствующего договора определенных документов потребителем (покупателем), имеющим намерение заключить договор энергоснабжения (купли-продажи (поставки) электрической энергии (мощности)) с гарантирующим поставщиком; пункта 196, закрепляющего расчетный способ определения объема бездоговорного потребления электрической энергии. Заявитель также оспаривает конституционность пункта 2 приложения № 3 «Расчетные способы учета электрической энергии (мощности) на розничных рынках электрической энергии» к Основным положениям, содержащего формулы, применяемые для определения объема бездоговорного потребления электрической энергии (мощности) исходя из величины допустимой длительной токовой нагрузки каждого вводного провода (кабеля). По мнению Б.З.Согомоняна, оспариваемые положения не соответствуют статьям 2, 15 (части 1 и 2), 17 (части 1 и 3), 18, 19 (части 1 и 2), 34 (часть 1), 35 (части 1 и 3), 45 (часть 1), 46 (часть 1) и 55 (части 2 и 3) Конституции Российской Федерации в той мере, в какой они как по своему буквальному смыслу, так и по смыслу, придаваемому им сложившейся правоприменительной практикой, допускают возложение на собственника имущества гражданско-правовой ответственности за действия третьих лиц ‒ арендаторов указанного имущества, фактически осуществлявших потребление электрической энергии, что ведет к произвольному лишению собственника его имущества, а также способствует неосновательному обогащению сетевых организаций.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Согомоняна Баграта Завеновича,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