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Артемовой Ирины Витальевны на нарушение ее конституционных прав положениями статей 196, 200 и 208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И.В.Артемовой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было отказано в удовлетворении предъявленных гражданкой И.В.Артемовой требований о взыскании компенсации за нарушение исключительных прав на произведения и компенсации морального вреда. Суд первой инстанции указал на отсутствие нарушения прав истицы ответчиком и на пропуск истицей срока исковой давности по требованиям о взыскании компенсации 2 за определенные периоды, о чем заявлено ответчиком.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Регулирование сроков для обращения в суд, включая их изменение и отмену, относится к компетенции законодателя; установление этих сроков обусловлено необходимостью обеспечить стабильность правоотношений и не может рассматриваться как нарушение права на судебную защиту (Постановление Конституционного Суда Российской Федерации от 15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Артемовой Ирины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