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469415-П/2020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признать не соответствующими Конституции Российской Федерации, ее статьям 1, 2, 15, 18, 19, 21, 45, 46 и 52, статьи 255 «Решение вопроса о мере пресечения», 3899 «Предмет судебного разбирательства в апелляционном порядке», 38915 «Основания отмены или изменения судебного решения в апелляционном порядке», 38920 «Решения, принимаемые судом апелляционной инстанции» и 38928 «Апелляционные приговор, определение и постановление», пункт 1 части второй статьи 40110 «Действия суда кассационной инстанции при поступлении кассационных 2 жалобы, представления» и статью 40115 «Основания отмены или изменения судебного решения при рассмотрении уголовного дела в кассационном порядке» УПК Российской Федерации. По мнению заявителя, данные нормы не способствуют в максимальной степени предупреждению и пресечению преступлений, не предотвращая их негативных последствий для прав и охраняемых законом интересов граждан, а также усложняют жертвам преступлений доступ к правосудию с целью восстановления прав.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