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522216-П/2021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Гурова Владимира Витальевича на нарушение его конституционных прав частью 1 и пунктом 2 части 2 статьи 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В.В.Гурова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В.В.Гуров оспаривает конституционность положений статьи 1 КАС Российской Федерации, устанавливающих, что данный Кодекс регулирует порядок осуществления административного судопроизводства при рассмотрении и разрешении Верховным Судом Российской Федерации, судами общей юрисдикции, мировыми судьями административных дел о защите нарушенных или оспариваемых прав, свобод и законных интересов граждан, прав и законных интересов организаций, а также других административных дел, возникающих из административных и иных публичных правоотношений и связанных с осуществлением судебного 2 контроля за законностью и обоснованностью осуществления государственных или иных публичных полномочий (часть 1); суды в порядке, предусмотренном данным Кодексом, рассматривают и разрешают подведомственные им административные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правоотношений, в том числе административные дела об оспаривании решений, действий (бездействия) органов государственной власти, иных государственных органов, органов военного управления, органов местного самоуправления, должностных лиц, государственных и муниципальных служащих (пункт 2 части 2). Как следует из представленных материалов, В.В.Гуров неоднократно обращался в органы прокуратуры и Следственного комитета Российской Федерации по вопросам, касающимся возбуждения уголовного дела. Полагая, что полученные ответы, в том числе процессуальное решение (постановление об отказе в возбуждении уголовного дела), являются бессодержательными, заявитель обратился в суд в порядке административного судопроизводства с требованием об их проверке на предмет соответствия положениям Федерального закона от 2 мая 2006 года № 59-ФЗ «О порядке рассмотрения обращений граждан Российской Федерации». В принятии соответствующих административных заявлений было отказано на том основании, что судебная защита прав заявителя должна, по мнению судов, осуществляться в рамках уголовного судопроизводства. Заявитель просит признать оспариваемые нормы противоречащими статьям 19, 45, 46 (части 1 и 2), 751 и 123 (часть 3) Конституции Российской Федерации, поскольку они не позволяют проверить ответы органов прокуратуры и Следственного комитета Российской Федерации, в том числе постановление следователя об отказе в возбуждении уголовного дела, на соответствие требованиям Федерального закона «О порядке рассмотрения обращений граждан Российской Федерации».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Из права каждого на судебную защиту, как оно сформулировано в статье 46 Конституции Российской Федерации, не следует возможность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Гурова Владимира Витальевича,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