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360335-П/2018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Андроновой Ларисы Валерьевны на нарушение ее конституционных прав частью 7 статьи 4 Федерального закона «О внесении изменений в Федеральный закон «О несостоятельности (банкротстве)» и Кодекс Российской Федерации об административных правонарушениях» и статьей 283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по требованию гражданки Л.В.Андроновой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апелляционного суда, оставленным без изменения постановлением суда кассационной инстанции, было изменено определение арбитражного суда первой инстанции, вынесенное в рамках дела о несостоятельности (банкротстве) общества с ограниченной ответственностью, в части установления очередности удовлетворения требований банка; требования данного банка, включенные в реестр 2 требований кредиторов должника, признаны подлежащими удовлетворению в третью очередь. При этом суды апелляционной и кассационной инстанций исходили, в частности, из того, что срок на предъявление банком своих требований к должнику пропущен не был. Кроме того, ранее в рамках того же дела арбитражным судом кассационной инстанции было приостановлено исполнение судебных актов первой и апелляционной инстанций до окончания производства в арбитражном суде кассационной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Андроновой Ларисы Валерьевны,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