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338774-П/2018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Васильевой Натальи Ивановны на нарушение ее конституционных прав положениями подпункта «б» пункта 32 и подпункта «е» пункта 34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по требованию гражданки Н.И.Васильевой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было отказано в удовлетворении иска гражданки Н.И.Васильевой к управляющей организации о взыскании неосновательного обогащения. При этом суды исходили из недоказанности факта неосновательного обогащения на стороне ответчика.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Правил предоставления коммунальных услуг собственникам и пользователям помещений в многоквартирных домах и жилых домов направлены на поддержание в надлежащем состоянии внутриквартирного оборудования и качественное предоставление коммунальных услуг, обеспечивая при этом необходимый баланс интересов собственников (пользователей) помещений, лиц, предоставляющих коммунальные услуги, а также представителей государственных органов, осуществляющих контроль и надзор. С учетом изложенного эти положения не могут рассматриваться как нарушающие конституционные права заявительницы в указанном ею аспекте.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Васильевой Натальи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