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223003-П/2016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«Роуд Лайф» на нарушение конституционных прав и свобод частями 1–3 статьи 25.5 и частью 3 статьи 30.1 Кодекса Российской Федерации об административных правонарушениях, а также пунктом 3 части 1 статьи 29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«Роуд Лайф»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47 (часть 1) Конституции Российской Федерации гарантирует, что никто не может быть лишен права на рассмотрение его дела в том суде и тем судьей, к подсудности которых оно отнесено законом. Подсудность же предполагает разграничение предметной компетенции как между различными звеньями судебной системы, в том числе между судами общей юрисдикции и арбитражными судами, так и внутри каждого из звеньев для определения конкретного суда, уполномоченного рассматривать данное дело (Определение Конституционного Суда Российской Федерации от 11 июля 2006 года Согласно статье 48 Конституции Российской Федерации каждому гарантируется право на получение квалифицированной юридической помощи (часть 1). В целях обеспечения реализации данного конституционного права при производстве по делу об административном правонарушении федеральный законодатель в статье 25.5 КоАП Российской Федерации закрепил право потерпевшего и лица, в отношении которого ведется производство по делу об административном правонарушении, на юридическую помощь соответственно представителя и защитника, а также условия их участия в производстве по делу об административном правонарушении. Кроме того, как разъяснил Пленум Верховного Суда Российской Федерации в пункте 8 указанного постановления, при применении части 3 статьи 25.5 КоАП Российской Федерации необходимо учитывать, что, 7 поскольку Кодекс Российской Федерации об административных правонарушениях не регулирует вопрос о том, каким образом должны быть оформлены полномочия защитника и представителя на участие в деле об административном правонарушении, данный вопрос должен быть решен применительно к общим положениям частей второй и третьей статьи 53 ГПК Российской Федерации, в которых закреплен порядок оформления полномочий представителя; при этом право представителя на подписание и подачу жалоб на постановление по делу об административном правонарушении, на решение по жалобе на постановление по делу об административном правонарушении, на отказ от таких жалоб, на получение взысканных расходов, понесенных в связи с рассмотрением дела об административном правонарушении, на получение изъятых и возвращаемых орудий совершения и (или) предметов административного правонарушения должно быть специально оговорено в доверенности. Таким образом, данные законоположения направлены на создание надлежащего процессуального механизма защиты прав лица, в отношении которого ведется производство по делу об административном правонарушении, и также не могут расцениваться как нарушающие конституционные права заявителя в указанном им аспекте. Разрешение же вопроса о том, наделяла ли выданная заявителем доверенность правом представлять его интересы в производстве по делу об административном правонарушении, связано с исследованием фактических обстоятельств и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«Роуд Лайф»,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