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245609-П/2016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Широковой Ларисы Егоровны на нарушение ее конституционных прав пунктом 1 части 1 статьи 287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Л.Е.Широковой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3 устанавливает какой-либо определенный порядок реализации данного права и не предполагает возможность для гражданина, организации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Положения статьи 287 АПК Российской Федерации, определяя полномочия арбитражного суда кассационной инстанции, во взаимосвязи с другими положениями главы 35 «Производство в суде кассационной инстанции», в частности с положениями статьи 288 того же Кодекса, регламентирующей основания для отмены судебного приказа, изменения или отмены решения, постановления арбитражного суда первой и апелляционной инстанций, не предполагают их произвольного применения и направлены на исправление возможных судебных ошибок в актах нижестоящих арбитражных судов. Таким образом, пункт 1 части 1 статьи 287 АПК Российской Федерации не может рассматриваться как нарушающий конституционные права заявительницы, перечисленные в жалобе, в ее конкретном деле.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Широковой Ларисы Егоровны,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