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Борунова Вадима Витальевича на нарушение его конституционных прав статьей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В.В.Борунова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159 УК Российской Федерации, устанавливая уголовную ответственность за мошенничество, т.е. хищение чужого имущества или приобретение права на чужое имущество путем обмана или злоупотребления доверием, является нормой уголовного права и не регламентирует уголовно-процессуальные отношения, в том числе связанные с определением подсудности уголовных дел, а потому не может расцениваться как нарушающая конституционные права заявителя в данном аспекте. Что же касается вопроса о привлечении на основании оспариваемой нормы к уголовной ответственности, то вопреки требованиям статей 96 и 97 Федерального конституционного закона «О Конституционном Суде Российской Федерации» заявителем не представлены документы, подтверждающие ее применение при разрешении его конкретного дела, рассмотрение которого завершено в суде. 3 При этом,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Борунова Вадима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