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364378-П/2018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октября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Добрияна Евгения Владимировича на нарушение его конституционных прав рядом норм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О.С.Хохряковой, В.Г.Ярославцева, рассмотрев вопрос о возможности принятия жалобы гражданина Е.В.Добрияна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со статьей 55 (часть 3) Конституции Российской Федерации права и свободы человека и гражданина могут быть ограничены федеральным законом только в той мере, в какой это необходимо в целях защиты основ конституционного строя, нравственности, здоровья, прав и законных интересов других лиц, обеспечения обороны страны и безопасности государства. Оспариваемые законоположения регулируют отдельные особенности процедуры привлечения к административной ответственности (применение отдельной меры административного принуждения – административного задержания, сроки рассмотрения дела об административном правонарушении, особенности исполнения постановления об административном аресте), а также предусматривают административную ответственность, в том числе в виде административного ареста, за мелкое хулиганство, т.е. за нарушение общественного порядка, выражающее явное 3 неуважение к обществу, сопровождающееся среди прочего нецензурной бранью в общественных местах. Такое регулирование направлено на охрану общественного порядка и защиту прав и свобод граждан и не создает несоразмерных ограничений конституционных прав заявителя. Между тем, как следует из жалобы, нарушение своих прав заявитель связывает не с содержанием оспариваемых норм, а с неправильным, по его мнению, применением данных норм судами общей юрисдикции, выразившимся в назначении ему административного наказания в виде административного ареста при наличии у суда возможности ограничиться назначением административного штрафа в размере от пятисот до одной тысячи рублей, и тем самым, по сути, ставит перед Конституционным Судом Российской Федерации вопрос о проверке и оценке решений, принятых судом по его делу. Между тем разрешение этого вопроса, как и проверка правильности выбора норм, подлежащих применению в деле заявителя, в компетенцию Конституционного Суда Российской Федерации не входят (статья 125 Конституции Российской Федерации и статья 3 Федерального конституционного закона «О Конституционном Суде Российской Федерации»).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Добрияна Евгения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