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276155-П/2017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«Инпельком» на нарушение конституционных прав и свобод пунктом 1 статьи 200 и статьей 201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по требованию АО «Инпельком» вопрос о возможности принятия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определением суда апелляционной инстанции, АО «Инпельком» (в лице конкурсного управляющего) было отказано в удовлетворении исковых требований к гражданину С. о взыскании задолженности по договору купли- продажи и обращении взыскания на заложенное имущество. При этом суды исходили, в частности, из того, что истцом пропущен срок исковой давности, а тот факт, что конкурсный управляющий узнал о наличии долга ответчика перед истцом позднее, не имеет правового значения для исчисления срока исковой давности, поскольку он как лицо, 2 осуществляющее полномочия руководителя должника, является представителем юридического лица, которое знало или должно было знать о нарушении своих прав и имело возможность обратиться за их защитой в судебном порядке в пределах установленного законом срока исковой давности.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«Инпельком»,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